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41" w:rsidRPr="00884D03" w:rsidRDefault="00F32641" w:rsidP="00F32641">
      <w:pPr>
        <w:rPr>
          <w:b/>
          <w:sz w:val="32"/>
          <w:szCs w:val="32"/>
        </w:rPr>
      </w:pPr>
      <w:smartTag w:uri="urn:schemas-microsoft-com:office:smarttags" w:element="place">
        <w:smartTag w:uri="urn:schemas-microsoft-com:office:smarttags" w:element="PlaceType">
          <w:r w:rsidRPr="00884D03">
            <w:rPr>
              <w:b/>
              <w:sz w:val="32"/>
              <w:szCs w:val="32"/>
            </w:rPr>
            <w:t>College</w:t>
          </w:r>
        </w:smartTag>
        <w:r w:rsidRPr="00884D03">
          <w:rPr>
            <w:b/>
            <w:sz w:val="32"/>
            <w:szCs w:val="32"/>
          </w:rPr>
          <w:t xml:space="preserve"> of </w:t>
        </w:r>
        <w:smartTag w:uri="urn:schemas-microsoft-com:office:smarttags" w:element="PlaceName">
          <w:r w:rsidRPr="00884D03">
            <w:rPr>
              <w:b/>
              <w:sz w:val="32"/>
              <w:szCs w:val="32"/>
            </w:rPr>
            <w:t>Engineering</w:t>
          </w:r>
        </w:smartTag>
      </w:smartTag>
      <w:r w:rsidRPr="00884D03">
        <w:rPr>
          <w:b/>
          <w:sz w:val="32"/>
          <w:szCs w:val="32"/>
        </w:rPr>
        <w:t>, Dean’s Office</w:t>
      </w:r>
    </w:p>
    <w:p w:rsidR="00F32641" w:rsidRPr="00C3507C" w:rsidRDefault="00F32641" w:rsidP="00F32641">
      <w:pPr>
        <w:rPr>
          <w:b/>
          <w:sz w:val="28"/>
          <w:szCs w:val="28"/>
        </w:rPr>
      </w:pPr>
    </w:p>
    <w:p w:rsidR="00F32641" w:rsidRDefault="00F32641" w:rsidP="00F32641">
      <w:pPr>
        <w:rPr>
          <w:b/>
        </w:rPr>
      </w:pPr>
      <w:r>
        <w:rPr>
          <w:b/>
        </w:rPr>
        <w:t>Faculty Internal Allocation Accounts</w:t>
      </w:r>
    </w:p>
    <w:p w:rsidR="00F32641" w:rsidRDefault="00F32641" w:rsidP="00F32641">
      <w:pPr>
        <w:rPr>
          <w:b/>
          <w:i/>
          <w:sz w:val="22"/>
          <w:szCs w:val="22"/>
        </w:rPr>
      </w:pPr>
      <w:r>
        <w:rPr>
          <w:b/>
          <w:i/>
          <w:sz w:val="22"/>
          <w:szCs w:val="22"/>
        </w:rPr>
        <w:t xml:space="preserve">Policy Owner: </w:t>
      </w:r>
      <w:proofErr w:type="spellStart"/>
      <w:r>
        <w:rPr>
          <w:b/>
          <w:i/>
          <w:sz w:val="22"/>
          <w:szCs w:val="22"/>
        </w:rPr>
        <w:t>BCoE</w:t>
      </w:r>
      <w:proofErr w:type="spellEnd"/>
      <w:r>
        <w:rPr>
          <w:b/>
          <w:i/>
          <w:sz w:val="22"/>
          <w:szCs w:val="22"/>
        </w:rPr>
        <w:t>, Dean’s Office</w:t>
      </w:r>
    </w:p>
    <w:p w:rsidR="00F32641" w:rsidRDefault="00F32641" w:rsidP="00F32641">
      <w:pPr>
        <w:rPr>
          <w:b/>
          <w:i/>
          <w:sz w:val="22"/>
          <w:szCs w:val="22"/>
        </w:rPr>
      </w:pPr>
      <w:r>
        <w:rPr>
          <w:b/>
          <w:i/>
          <w:sz w:val="22"/>
          <w:szCs w:val="22"/>
        </w:rPr>
        <w:t>Date: March 6, 2007</w:t>
      </w:r>
    </w:p>
    <w:p w:rsidR="00F32641" w:rsidRPr="00884D03" w:rsidRDefault="00F32641" w:rsidP="00F32641">
      <w:pPr>
        <w:rPr>
          <w:b/>
          <w:i/>
          <w:sz w:val="22"/>
          <w:szCs w:val="22"/>
        </w:rPr>
      </w:pPr>
    </w:p>
    <w:p w:rsidR="00F32641" w:rsidRDefault="00F32641" w:rsidP="00F32641">
      <w:pPr>
        <w:rPr>
          <w:b/>
        </w:rPr>
      </w:pPr>
      <w:r>
        <w:rPr>
          <w:b/>
        </w:rPr>
        <w:t xml:space="preserve">Objective: </w:t>
      </w:r>
    </w:p>
    <w:p w:rsidR="00F32641" w:rsidRDefault="00F32641" w:rsidP="00F32641">
      <w:pPr>
        <w:rPr>
          <w:sz w:val="22"/>
          <w:szCs w:val="22"/>
        </w:rPr>
      </w:pPr>
    </w:p>
    <w:p w:rsidR="00F32641" w:rsidRDefault="00F32641" w:rsidP="00F32641">
      <w:pPr>
        <w:rPr>
          <w:sz w:val="22"/>
          <w:szCs w:val="22"/>
        </w:rPr>
      </w:pPr>
      <w:r w:rsidRPr="009E68CE">
        <w:rPr>
          <w:sz w:val="22"/>
          <w:szCs w:val="22"/>
        </w:rPr>
        <w:t xml:space="preserve">In the interest of supporting faculty efforts in research and graduate training, </w:t>
      </w:r>
      <w:proofErr w:type="spellStart"/>
      <w:r w:rsidRPr="009E68CE">
        <w:rPr>
          <w:sz w:val="22"/>
          <w:szCs w:val="22"/>
        </w:rPr>
        <w:t>BCoE</w:t>
      </w:r>
      <w:proofErr w:type="spellEnd"/>
      <w:r w:rsidRPr="009E68CE">
        <w:rPr>
          <w:sz w:val="22"/>
          <w:szCs w:val="22"/>
        </w:rPr>
        <w:t xml:space="preserve"> will establish Internal Allocation Accounts for all </w:t>
      </w:r>
      <w:proofErr w:type="spellStart"/>
      <w:r w:rsidRPr="009E68CE">
        <w:rPr>
          <w:sz w:val="22"/>
          <w:szCs w:val="22"/>
        </w:rPr>
        <w:t>BCoE</w:t>
      </w:r>
      <w:proofErr w:type="spellEnd"/>
      <w:r w:rsidRPr="009E68CE">
        <w:rPr>
          <w:sz w:val="22"/>
          <w:szCs w:val="22"/>
        </w:rPr>
        <w:t xml:space="preserve"> faculty.  Funds allocated in this Account can include Academic Year Faculty Salary Savings, funds for </w:t>
      </w:r>
      <w:proofErr w:type="spellStart"/>
      <w:r w:rsidRPr="009E68CE">
        <w:rPr>
          <w:sz w:val="22"/>
          <w:szCs w:val="22"/>
        </w:rPr>
        <w:t>BCoE</w:t>
      </w:r>
      <w:proofErr w:type="spellEnd"/>
      <w:r w:rsidRPr="009E68CE">
        <w:rPr>
          <w:sz w:val="22"/>
          <w:szCs w:val="22"/>
        </w:rPr>
        <w:t xml:space="preserve"> appointments such as Chairs and Associate Deans and other internal allocations.  These funds can be used for any purpose that is consistent with UCR policies and procedures.  These purposes include faculty summer salary, grad student support, travel, equipment and supplies, and seed projects.  In conformance with UCR policies, these funds cannot be used to cover salary and benefit costs for staff nor to cover costs of the purchase of alcoholic beverages.  These funds will be available to the faculty member as long as he/she retains an active appointment in </w:t>
      </w:r>
      <w:proofErr w:type="spellStart"/>
      <w:r w:rsidRPr="009E68CE">
        <w:rPr>
          <w:sz w:val="22"/>
          <w:szCs w:val="22"/>
        </w:rPr>
        <w:t>BCoE</w:t>
      </w:r>
      <w:proofErr w:type="spellEnd"/>
      <w:r w:rsidRPr="009E68CE">
        <w:rPr>
          <w:sz w:val="22"/>
          <w:szCs w:val="22"/>
        </w:rPr>
        <w:t>.</w:t>
      </w:r>
      <w:r>
        <w:rPr>
          <w:sz w:val="22"/>
          <w:szCs w:val="22"/>
        </w:rPr>
        <w:t xml:space="preserve">  Below are a list of possible allocations and information on how they are allocated.</w:t>
      </w:r>
    </w:p>
    <w:p w:rsidR="00F32641" w:rsidRDefault="00F32641" w:rsidP="00F32641">
      <w:pPr>
        <w:rPr>
          <w:sz w:val="22"/>
          <w:szCs w:val="22"/>
        </w:rPr>
      </w:pPr>
    </w:p>
    <w:p w:rsidR="00F32641" w:rsidRPr="009E68CE" w:rsidRDefault="00F32641" w:rsidP="00F32641">
      <w:pPr>
        <w:rPr>
          <w:sz w:val="22"/>
          <w:szCs w:val="22"/>
        </w:rPr>
      </w:pPr>
    </w:p>
    <w:p w:rsidR="006169F4" w:rsidRDefault="006169F4"/>
    <w:p w:rsidR="00F32641" w:rsidRDefault="00F32641" w:rsidP="00F32641">
      <w:pPr>
        <w:numPr>
          <w:ilvl w:val="0"/>
          <w:numId w:val="2"/>
        </w:numPr>
        <w:rPr>
          <w:b/>
          <w:bCs/>
          <w:sz w:val="22"/>
          <w:szCs w:val="22"/>
        </w:rPr>
      </w:pPr>
      <w:r w:rsidRPr="009E68CE">
        <w:rPr>
          <w:b/>
          <w:bCs/>
          <w:sz w:val="22"/>
          <w:szCs w:val="22"/>
        </w:rPr>
        <w:t xml:space="preserve">Academic Year Faculty Salary Savings Allocations </w:t>
      </w:r>
    </w:p>
    <w:p w:rsidR="00F32641" w:rsidRPr="009E68CE" w:rsidRDefault="00F32641" w:rsidP="00F32641">
      <w:pPr>
        <w:ind w:left="720"/>
        <w:rPr>
          <w:b/>
          <w:bCs/>
          <w:sz w:val="22"/>
          <w:szCs w:val="22"/>
        </w:rPr>
      </w:pPr>
    </w:p>
    <w:p w:rsidR="00F32641" w:rsidRDefault="00F32641" w:rsidP="00F32641">
      <w:pPr>
        <w:ind w:left="720"/>
        <w:rPr>
          <w:sz w:val="22"/>
          <w:szCs w:val="22"/>
        </w:rPr>
      </w:pPr>
      <w:r w:rsidRPr="009E68CE">
        <w:rPr>
          <w:sz w:val="22"/>
          <w:szCs w:val="22"/>
        </w:rPr>
        <w:t xml:space="preserve">In conformance with applicable UC and sponsor policies, a portion of a </w:t>
      </w:r>
      <w:proofErr w:type="spellStart"/>
      <w:r w:rsidRPr="009E68CE">
        <w:rPr>
          <w:sz w:val="22"/>
          <w:szCs w:val="22"/>
        </w:rPr>
        <w:t>BCoE</w:t>
      </w:r>
      <w:proofErr w:type="spellEnd"/>
      <w:r w:rsidRPr="009E68CE">
        <w:rPr>
          <w:sz w:val="22"/>
          <w:szCs w:val="22"/>
        </w:rPr>
        <w:t xml:space="preserve"> faculty member’s Academic Year (AY) salary</w:t>
      </w:r>
      <w:r w:rsidR="00617618">
        <w:rPr>
          <w:sz w:val="22"/>
          <w:szCs w:val="22"/>
        </w:rPr>
        <w:t>/benefits</w:t>
      </w:r>
      <w:r w:rsidRPr="009E68CE">
        <w:rPr>
          <w:sz w:val="22"/>
          <w:szCs w:val="22"/>
        </w:rPr>
        <w:t xml:space="preserve"> can normally be paid from external fund sources.  A </w:t>
      </w:r>
      <w:proofErr w:type="spellStart"/>
      <w:r w:rsidRPr="009E68CE">
        <w:rPr>
          <w:sz w:val="22"/>
          <w:szCs w:val="22"/>
        </w:rPr>
        <w:t>BCoE</w:t>
      </w:r>
      <w:proofErr w:type="spellEnd"/>
      <w:r w:rsidRPr="009E68CE">
        <w:rPr>
          <w:sz w:val="22"/>
          <w:szCs w:val="22"/>
        </w:rPr>
        <w:t xml:space="preserve"> faculty member may wish to continue normal assigned teaching and service duties, but have a portion of his/her academic salary</w:t>
      </w:r>
      <w:r w:rsidR="00617618">
        <w:rPr>
          <w:sz w:val="22"/>
          <w:szCs w:val="22"/>
        </w:rPr>
        <w:t>/benefits</w:t>
      </w:r>
      <w:r w:rsidRPr="009E68CE">
        <w:rPr>
          <w:sz w:val="22"/>
          <w:szCs w:val="22"/>
        </w:rPr>
        <w:t xml:space="preserve"> paid by extramural funding to reflect effort spent on the extramurally funded project.  In such cases, </w:t>
      </w:r>
      <w:proofErr w:type="spellStart"/>
      <w:r w:rsidRPr="009E68CE">
        <w:rPr>
          <w:sz w:val="22"/>
          <w:szCs w:val="22"/>
        </w:rPr>
        <w:t>BCoE</w:t>
      </w:r>
      <w:proofErr w:type="spellEnd"/>
      <w:r w:rsidRPr="009E68CE">
        <w:rPr>
          <w:sz w:val="22"/>
          <w:szCs w:val="22"/>
        </w:rPr>
        <w:t xml:space="preserve"> will allocate 33% of the AY salary</w:t>
      </w:r>
      <w:r w:rsidR="00617618">
        <w:rPr>
          <w:sz w:val="22"/>
          <w:szCs w:val="22"/>
        </w:rPr>
        <w:t>/benefits</w:t>
      </w:r>
      <w:r w:rsidRPr="009E68CE">
        <w:rPr>
          <w:sz w:val="22"/>
          <w:szCs w:val="22"/>
        </w:rPr>
        <w:t xml:space="preserve"> savings into the faculty’s Internal Allocation Account, held by the Dean’s Office.  Funds in these Accounts can be used for any legitimate purpose and will continue as long as the faculty member has an appointment in </w:t>
      </w:r>
      <w:proofErr w:type="spellStart"/>
      <w:r w:rsidRPr="009E68CE">
        <w:rPr>
          <w:sz w:val="22"/>
          <w:szCs w:val="22"/>
        </w:rPr>
        <w:t>BCoE</w:t>
      </w:r>
      <w:proofErr w:type="spellEnd"/>
      <w:r w:rsidRPr="009E68CE">
        <w:rPr>
          <w:sz w:val="22"/>
          <w:szCs w:val="22"/>
        </w:rPr>
        <w:t>.  An additional 33% allocation of the salary</w:t>
      </w:r>
      <w:r w:rsidR="00617618">
        <w:rPr>
          <w:sz w:val="22"/>
          <w:szCs w:val="22"/>
        </w:rPr>
        <w:t>/benefits</w:t>
      </w:r>
      <w:r w:rsidRPr="009E68CE">
        <w:rPr>
          <w:sz w:val="22"/>
          <w:szCs w:val="22"/>
        </w:rPr>
        <w:t xml:space="preserve"> savings will be given to the faculty member’s </w:t>
      </w:r>
      <w:proofErr w:type="spellStart"/>
      <w:r w:rsidRPr="009E68CE">
        <w:rPr>
          <w:sz w:val="22"/>
          <w:szCs w:val="22"/>
        </w:rPr>
        <w:t>BCoE</w:t>
      </w:r>
      <w:proofErr w:type="spellEnd"/>
      <w:r w:rsidRPr="009E68CE">
        <w:rPr>
          <w:sz w:val="22"/>
          <w:szCs w:val="22"/>
        </w:rPr>
        <w:t xml:space="preserve"> department.  Allocations will be available to the faculty member and provided to department at the time that his/her AY salary</w:t>
      </w:r>
      <w:r w:rsidR="00617618">
        <w:rPr>
          <w:sz w:val="22"/>
          <w:szCs w:val="22"/>
        </w:rPr>
        <w:t>/benefits</w:t>
      </w:r>
      <w:r w:rsidRPr="009E68CE">
        <w:rPr>
          <w:sz w:val="22"/>
          <w:szCs w:val="22"/>
        </w:rPr>
        <w:t xml:space="preserve"> is transferred to extramural funding sources.  Departmental allocations can be used for any appropriate purpose without the consent or approval of the faculty member who generated the allocation.  Departmental allocations are added to the department’s operating budget and do not have end dates.</w:t>
      </w:r>
    </w:p>
    <w:p w:rsidR="00F32641" w:rsidRDefault="00F32641" w:rsidP="00F32641">
      <w:pPr>
        <w:ind w:left="720"/>
        <w:rPr>
          <w:sz w:val="22"/>
          <w:szCs w:val="22"/>
        </w:rPr>
      </w:pPr>
    </w:p>
    <w:p w:rsidR="00F32641" w:rsidRDefault="00F32641" w:rsidP="00F32641">
      <w:pPr>
        <w:ind w:left="720"/>
        <w:rPr>
          <w:sz w:val="22"/>
          <w:szCs w:val="22"/>
        </w:rPr>
      </w:pPr>
      <w:r w:rsidRPr="009E68CE">
        <w:rPr>
          <w:sz w:val="22"/>
          <w:szCs w:val="22"/>
        </w:rPr>
        <w:t xml:space="preserve">Initial Complement funds and faculty course buyouts cannot be used for any salary savings allocations.  </w:t>
      </w:r>
      <w:proofErr w:type="spellStart"/>
      <w:r w:rsidRPr="009E68CE">
        <w:rPr>
          <w:sz w:val="22"/>
          <w:szCs w:val="22"/>
        </w:rPr>
        <w:t>BCoE’s</w:t>
      </w:r>
      <w:proofErr w:type="spellEnd"/>
      <w:r w:rsidRPr="009E68CE">
        <w:rPr>
          <w:sz w:val="22"/>
          <w:szCs w:val="22"/>
        </w:rPr>
        <w:t xml:space="preserve"> current Faculty Course Buyout Policy remains unchanged.</w:t>
      </w:r>
    </w:p>
    <w:p w:rsidR="00F32641" w:rsidRPr="009E68CE" w:rsidRDefault="00F32641" w:rsidP="00F32641">
      <w:pPr>
        <w:ind w:left="720"/>
        <w:rPr>
          <w:sz w:val="22"/>
          <w:szCs w:val="22"/>
        </w:rPr>
      </w:pPr>
    </w:p>
    <w:p w:rsidR="00F32641" w:rsidRDefault="00F32641" w:rsidP="00F32641">
      <w:pPr>
        <w:ind w:left="720"/>
        <w:rPr>
          <w:sz w:val="22"/>
          <w:szCs w:val="22"/>
        </w:rPr>
      </w:pPr>
    </w:p>
    <w:p w:rsidR="00F32641" w:rsidRDefault="00F32641" w:rsidP="00F32641">
      <w:pPr>
        <w:numPr>
          <w:ilvl w:val="0"/>
          <w:numId w:val="2"/>
        </w:numPr>
        <w:rPr>
          <w:b/>
          <w:sz w:val="22"/>
          <w:szCs w:val="22"/>
        </w:rPr>
      </w:pPr>
      <w:r w:rsidRPr="009E68CE">
        <w:rPr>
          <w:b/>
          <w:sz w:val="22"/>
          <w:szCs w:val="22"/>
        </w:rPr>
        <w:t xml:space="preserve">Funds for </w:t>
      </w:r>
      <w:proofErr w:type="spellStart"/>
      <w:r w:rsidRPr="009E68CE">
        <w:rPr>
          <w:b/>
          <w:sz w:val="22"/>
          <w:szCs w:val="22"/>
        </w:rPr>
        <w:t>BCoE</w:t>
      </w:r>
      <w:proofErr w:type="spellEnd"/>
      <w:r w:rsidRPr="009E68CE">
        <w:rPr>
          <w:b/>
          <w:sz w:val="22"/>
          <w:szCs w:val="22"/>
        </w:rPr>
        <w:t xml:space="preserve"> Appointments including Chairs and Associate Deans</w:t>
      </w:r>
    </w:p>
    <w:p w:rsidR="00F32641" w:rsidRPr="009E68CE" w:rsidRDefault="00F32641" w:rsidP="00F32641">
      <w:pPr>
        <w:ind w:left="720"/>
        <w:rPr>
          <w:b/>
          <w:sz w:val="22"/>
          <w:szCs w:val="22"/>
        </w:rPr>
      </w:pPr>
    </w:p>
    <w:p w:rsidR="00F32641" w:rsidRDefault="00F32641" w:rsidP="00F32641">
      <w:pPr>
        <w:pStyle w:val="ListParagraph"/>
        <w:rPr>
          <w:sz w:val="22"/>
          <w:szCs w:val="22"/>
        </w:rPr>
      </w:pPr>
      <w:r w:rsidRPr="009E68CE">
        <w:rPr>
          <w:sz w:val="22"/>
          <w:szCs w:val="22"/>
        </w:rPr>
        <w:t xml:space="preserve">Summer salary funds allocated for </w:t>
      </w:r>
      <w:proofErr w:type="spellStart"/>
      <w:r w:rsidRPr="009E68CE">
        <w:rPr>
          <w:sz w:val="22"/>
          <w:szCs w:val="22"/>
        </w:rPr>
        <w:t>BCoE</w:t>
      </w:r>
      <w:proofErr w:type="spellEnd"/>
      <w:r w:rsidRPr="009E68CE">
        <w:rPr>
          <w:sz w:val="22"/>
          <w:szCs w:val="22"/>
        </w:rPr>
        <w:t xml:space="preserve"> faculty to serve as Chairs, Associate Deans and other appointments will be allocated to the faculty member’s Internal Allocation Account at the time of his/her annual appointment</w:t>
      </w:r>
      <w:r w:rsidR="00617618">
        <w:rPr>
          <w:sz w:val="22"/>
          <w:szCs w:val="22"/>
        </w:rPr>
        <w:t xml:space="preserve"> (benefits will be allocated when used during appointment)</w:t>
      </w:r>
      <w:r w:rsidRPr="009E68CE">
        <w:rPr>
          <w:sz w:val="22"/>
          <w:szCs w:val="22"/>
        </w:rPr>
        <w:t xml:space="preserve">.  Summer salary </w:t>
      </w:r>
      <w:r>
        <w:rPr>
          <w:sz w:val="22"/>
          <w:szCs w:val="22"/>
        </w:rPr>
        <w:t xml:space="preserve">allocations not used during the </w:t>
      </w:r>
      <w:r w:rsidRPr="009E68CE">
        <w:rPr>
          <w:sz w:val="22"/>
          <w:szCs w:val="22"/>
        </w:rPr>
        <w:t xml:space="preserve">appointment year will be carried forward at the end of the appointment year at the faculty member’s current salary rate (excluding employee benefits).  Those funds will </w:t>
      </w:r>
      <w:r w:rsidRPr="009E68CE">
        <w:rPr>
          <w:sz w:val="22"/>
          <w:szCs w:val="22"/>
          <w:u w:val="single"/>
        </w:rPr>
        <w:t>not</w:t>
      </w:r>
      <w:r w:rsidRPr="009E68CE">
        <w:rPr>
          <w:sz w:val="22"/>
          <w:szCs w:val="22"/>
        </w:rPr>
        <w:t xml:space="preserve"> be subject to or eligible for future salary adjustments</w:t>
      </w:r>
      <w:r w:rsidR="00617618">
        <w:rPr>
          <w:sz w:val="22"/>
          <w:szCs w:val="22"/>
        </w:rPr>
        <w:t>.</w:t>
      </w:r>
    </w:p>
    <w:p w:rsidR="00F32641" w:rsidRDefault="00F32641" w:rsidP="00F32641">
      <w:pPr>
        <w:pStyle w:val="ListParagraph"/>
        <w:rPr>
          <w:sz w:val="22"/>
          <w:szCs w:val="22"/>
        </w:rPr>
      </w:pPr>
    </w:p>
    <w:p w:rsidR="00F32641" w:rsidRDefault="00F32641" w:rsidP="00F32641">
      <w:pPr>
        <w:pStyle w:val="ListParagraph"/>
        <w:rPr>
          <w:sz w:val="22"/>
          <w:szCs w:val="22"/>
        </w:rPr>
      </w:pPr>
    </w:p>
    <w:p w:rsidR="00F32641" w:rsidRDefault="00F32641" w:rsidP="00F32641">
      <w:pPr>
        <w:numPr>
          <w:ilvl w:val="0"/>
          <w:numId w:val="2"/>
        </w:numPr>
        <w:rPr>
          <w:b/>
          <w:sz w:val="22"/>
          <w:szCs w:val="22"/>
        </w:rPr>
      </w:pPr>
      <w:r w:rsidRPr="009E68CE">
        <w:rPr>
          <w:b/>
          <w:sz w:val="22"/>
          <w:szCs w:val="22"/>
        </w:rPr>
        <w:t>Allocations for Grad Student PhD Completion</w:t>
      </w:r>
    </w:p>
    <w:p w:rsidR="00F32641" w:rsidRPr="009E68CE" w:rsidRDefault="00F32641" w:rsidP="00F32641">
      <w:pPr>
        <w:ind w:left="720"/>
        <w:rPr>
          <w:b/>
          <w:sz w:val="22"/>
          <w:szCs w:val="22"/>
        </w:rPr>
      </w:pPr>
    </w:p>
    <w:p w:rsidR="00F32641" w:rsidRDefault="00F32641" w:rsidP="00F32641">
      <w:pPr>
        <w:pStyle w:val="ListParagraph"/>
        <w:rPr>
          <w:sz w:val="22"/>
          <w:szCs w:val="22"/>
        </w:rPr>
      </w:pPr>
      <w:r w:rsidRPr="009E68CE">
        <w:rPr>
          <w:sz w:val="22"/>
          <w:szCs w:val="22"/>
        </w:rPr>
        <w:t xml:space="preserve">Faculty Chairs of Grad Student Committees will receive allocations for each (domestic or international) grad student that completes his/her PhD degree in a </w:t>
      </w:r>
      <w:proofErr w:type="spellStart"/>
      <w:r w:rsidRPr="009E68CE">
        <w:rPr>
          <w:sz w:val="22"/>
          <w:szCs w:val="22"/>
        </w:rPr>
        <w:t>BCoE</w:t>
      </w:r>
      <w:proofErr w:type="spellEnd"/>
      <w:r w:rsidRPr="009E68CE">
        <w:rPr>
          <w:sz w:val="22"/>
          <w:szCs w:val="22"/>
        </w:rPr>
        <w:t xml:space="preserve"> graduate degree program.  The allocations vary depending on the amount of annual funding determined available by the Dean and percent of external support provided by the faculty member.  External fund sources include contracts, grants, and gifts.  Co-Chairs will split these allocations.  For </w:t>
      </w:r>
      <w:proofErr w:type="spellStart"/>
      <w:r w:rsidRPr="009E68CE">
        <w:rPr>
          <w:sz w:val="22"/>
          <w:szCs w:val="22"/>
        </w:rPr>
        <w:t>BCoE</w:t>
      </w:r>
      <w:proofErr w:type="spellEnd"/>
      <w:r w:rsidRPr="009E68CE">
        <w:rPr>
          <w:sz w:val="22"/>
          <w:szCs w:val="22"/>
        </w:rPr>
        <w:t xml:space="preserve"> faculty, funds will be allocated to a faculty member’s Internal Allocation Account at the end of the term that the student completes all PhD degree requirements.</w:t>
      </w:r>
    </w:p>
    <w:p w:rsidR="00F32641" w:rsidRDefault="00F32641" w:rsidP="00F32641">
      <w:pPr>
        <w:pStyle w:val="ListParagraph"/>
        <w:rPr>
          <w:sz w:val="22"/>
          <w:szCs w:val="22"/>
        </w:rPr>
      </w:pPr>
    </w:p>
    <w:p w:rsidR="00F32641" w:rsidRPr="00F32641" w:rsidRDefault="00F32641" w:rsidP="00F32641">
      <w:pPr>
        <w:pStyle w:val="ListParagraph"/>
        <w:numPr>
          <w:ilvl w:val="0"/>
          <w:numId w:val="2"/>
        </w:numPr>
        <w:rPr>
          <w:sz w:val="22"/>
          <w:szCs w:val="22"/>
        </w:rPr>
      </w:pPr>
      <w:r w:rsidRPr="009E68CE">
        <w:rPr>
          <w:b/>
          <w:sz w:val="22"/>
          <w:szCs w:val="22"/>
        </w:rPr>
        <w:t>Allocations for Indirect Cost</w:t>
      </w:r>
      <w:r>
        <w:rPr>
          <w:b/>
          <w:sz w:val="22"/>
          <w:szCs w:val="22"/>
        </w:rPr>
        <w:t xml:space="preserve"> for Indirect Cost Return</w:t>
      </w:r>
    </w:p>
    <w:p w:rsidR="00F32641" w:rsidRDefault="00F32641" w:rsidP="00F32641">
      <w:pPr>
        <w:pStyle w:val="ListParagraph"/>
        <w:rPr>
          <w:b/>
          <w:sz w:val="22"/>
          <w:szCs w:val="22"/>
        </w:rPr>
      </w:pPr>
    </w:p>
    <w:p w:rsidR="00F32641" w:rsidRPr="00F32641" w:rsidRDefault="00617618" w:rsidP="00F32641">
      <w:pPr>
        <w:pStyle w:val="ListParagraph"/>
        <w:rPr>
          <w:sz w:val="22"/>
          <w:szCs w:val="22"/>
        </w:rPr>
      </w:pPr>
      <w:r>
        <w:rPr>
          <w:sz w:val="22"/>
          <w:szCs w:val="22"/>
        </w:rPr>
        <w:t>The Campus</w:t>
      </w:r>
      <w:r w:rsidR="00F32641" w:rsidRPr="009E68CE">
        <w:rPr>
          <w:sz w:val="22"/>
          <w:szCs w:val="22"/>
        </w:rPr>
        <w:t xml:space="preserve"> will return to eligible (tenure track and research) faculty </w:t>
      </w:r>
      <w:r>
        <w:rPr>
          <w:sz w:val="22"/>
          <w:szCs w:val="22"/>
        </w:rPr>
        <w:t>5</w:t>
      </w:r>
      <w:r w:rsidR="00F32641" w:rsidRPr="009E68CE">
        <w:rPr>
          <w:sz w:val="22"/>
          <w:szCs w:val="22"/>
        </w:rPr>
        <w:t>% of the total indirect cost (IDC) recovery funds returned to the Campus each year</w:t>
      </w:r>
      <w:r>
        <w:rPr>
          <w:sz w:val="22"/>
          <w:szCs w:val="22"/>
        </w:rPr>
        <w:t xml:space="preserve"> by UCOP</w:t>
      </w:r>
      <w:r w:rsidR="00F32641" w:rsidRPr="009E68CE">
        <w:rPr>
          <w:sz w:val="22"/>
          <w:szCs w:val="22"/>
        </w:rPr>
        <w:t>, which is calculated based on IDC that is generated during the previous fiscal year by the College.  IDC return funds will be distributed to each eligible faculty member’s I</w:t>
      </w:r>
      <w:r>
        <w:rPr>
          <w:sz w:val="22"/>
          <w:szCs w:val="22"/>
        </w:rPr>
        <w:t xml:space="preserve">nternal Allocation Account.  A 10% </w:t>
      </w:r>
      <w:r w:rsidR="00F32641" w:rsidRPr="009E68CE">
        <w:rPr>
          <w:sz w:val="22"/>
          <w:szCs w:val="22"/>
        </w:rPr>
        <w:t xml:space="preserve">allocation of Indirect Cost Return Funds will also be made to the eligible faculty member’s </w:t>
      </w:r>
      <w:proofErr w:type="spellStart"/>
      <w:r w:rsidR="00F32641" w:rsidRPr="009E68CE">
        <w:rPr>
          <w:sz w:val="22"/>
          <w:szCs w:val="22"/>
        </w:rPr>
        <w:t>BCoE</w:t>
      </w:r>
      <w:proofErr w:type="spellEnd"/>
      <w:r w:rsidR="00F32641" w:rsidRPr="009E68CE">
        <w:rPr>
          <w:sz w:val="22"/>
          <w:szCs w:val="22"/>
        </w:rPr>
        <w:t xml:space="preserve"> department</w:t>
      </w:r>
      <w:r>
        <w:rPr>
          <w:sz w:val="22"/>
          <w:szCs w:val="22"/>
        </w:rPr>
        <w:t xml:space="preserve"> by the Campus</w:t>
      </w:r>
      <w:r w:rsidR="00F32641" w:rsidRPr="009E68CE">
        <w:rPr>
          <w:sz w:val="22"/>
          <w:szCs w:val="22"/>
        </w:rPr>
        <w:t xml:space="preserve">.  These allocations are not dependent upon faculty Initial Complement and Retention fund balances.  It is anticipated that these allocations made to departments will be used </w:t>
      </w:r>
      <w:r>
        <w:rPr>
          <w:sz w:val="22"/>
          <w:szCs w:val="22"/>
        </w:rPr>
        <w:t>to</w:t>
      </w:r>
      <w:r w:rsidR="00F32641" w:rsidRPr="009E68CE">
        <w:rPr>
          <w:sz w:val="22"/>
          <w:szCs w:val="22"/>
        </w:rPr>
        <w:t xml:space="preserve"> assist faculty in obtaining contracts and grants and as bridge funding between contracts/grants.   The estimated date of such allocations is January 1</w:t>
      </w:r>
      <w:r w:rsidR="00F32641" w:rsidRPr="009E68CE">
        <w:rPr>
          <w:sz w:val="22"/>
          <w:szCs w:val="22"/>
          <w:vertAlign w:val="superscript"/>
        </w:rPr>
        <w:t>st</w:t>
      </w:r>
      <w:r w:rsidR="00F32641" w:rsidRPr="009E68CE">
        <w:rPr>
          <w:sz w:val="22"/>
          <w:szCs w:val="22"/>
        </w:rPr>
        <w:t xml:space="preserve"> of each fiscal year</w:t>
      </w:r>
      <w:r>
        <w:rPr>
          <w:sz w:val="22"/>
          <w:szCs w:val="22"/>
        </w:rPr>
        <w:t>.</w:t>
      </w:r>
      <w:bookmarkStart w:id="0" w:name="_GoBack"/>
      <w:bookmarkEnd w:id="0"/>
    </w:p>
    <w:p w:rsidR="00F32641" w:rsidRDefault="00F32641" w:rsidP="00F32641">
      <w:pPr>
        <w:pStyle w:val="ListParagraph"/>
      </w:pPr>
    </w:p>
    <w:sectPr w:rsidR="00F32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6DD"/>
    <w:multiLevelType w:val="hybridMultilevel"/>
    <w:tmpl w:val="BE62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051CD"/>
    <w:multiLevelType w:val="hybridMultilevel"/>
    <w:tmpl w:val="30A0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A7732A"/>
    <w:multiLevelType w:val="hybridMultilevel"/>
    <w:tmpl w:val="E72E6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41"/>
    <w:rsid w:val="00517919"/>
    <w:rsid w:val="006169F4"/>
    <w:rsid w:val="00617618"/>
    <w:rsid w:val="00F3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7F929AA1-2682-4354-873A-6F3089F1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641"/>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641"/>
    <w:pPr>
      <w:ind w:left="720"/>
      <w:contextualSpacing/>
    </w:pPr>
  </w:style>
  <w:style w:type="paragraph" w:customStyle="1" w:styleId="Default">
    <w:name w:val="Default"/>
    <w:rsid w:val="00F32641"/>
    <w:pPr>
      <w:autoSpaceDE w:val="0"/>
      <w:autoSpaceDN w:val="0"/>
      <w:adjustRightInd w:val="0"/>
      <w:spacing w:after="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dc:creator>
  <cp:lastModifiedBy>Alissa Rackstraw</cp:lastModifiedBy>
  <cp:revision>2</cp:revision>
  <dcterms:created xsi:type="dcterms:W3CDTF">2017-11-29T23:14:00Z</dcterms:created>
  <dcterms:modified xsi:type="dcterms:W3CDTF">2017-11-29T23:14:00Z</dcterms:modified>
</cp:coreProperties>
</file>